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5037" w:rsidRDefault="00E45037"/>
    <w:p w:rsidR="00952FD6" w:rsidRDefault="008F682A" w:rsidP="00952FD6">
      <w:pPr>
        <w:spacing w:line="240" w:lineRule="auto"/>
        <w:rPr>
          <w:color w:val="943634" w:themeColor="accent2" w:themeShade="BF"/>
          <w:sz w:val="28"/>
          <w:szCs w:val="28"/>
        </w:rPr>
      </w:pPr>
      <w:r w:rsidRPr="004E314D">
        <w:rPr>
          <w:rFonts w:ascii="Trebuchet MS" w:hAnsi="Trebuchet MS"/>
          <w:noProof/>
          <w:lang w:eastAsia="cs-CZ"/>
        </w:rPr>
        <w:drawing>
          <wp:anchor distT="0" distB="0" distL="114300" distR="114300" simplePos="0" relativeHeight="251658240" behindDoc="1" locked="0" layoutInCell="1" allowOverlap="1" wp14:anchorId="43FD5303" wp14:editId="68667C3E">
            <wp:simplePos x="0" y="0"/>
            <wp:positionH relativeFrom="column">
              <wp:posOffset>-121285</wp:posOffset>
            </wp:positionH>
            <wp:positionV relativeFrom="paragraph">
              <wp:posOffset>6985</wp:posOffset>
            </wp:positionV>
            <wp:extent cx="5934075" cy="1247775"/>
            <wp:effectExtent l="0" t="0" r="9525" b="9525"/>
            <wp:wrapTight wrapText="bothSides">
              <wp:wrapPolygon edited="0">
                <wp:start x="0" y="0"/>
                <wp:lineTo x="0" y="21435"/>
                <wp:lineTo x="21565" y="21435"/>
                <wp:lineTo x="21565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_PET_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1247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314D">
        <w:rPr>
          <w:rFonts w:ascii="Trebuchet MS" w:hAnsi="Trebuchet MS"/>
          <w:color w:val="943634" w:themeColor="accent2" w:themeShade="BF"/>
          <w:sz w:val="28"/>
          <w:szCs w:val="28"/>
        </w:rPr>
        <w:t>Zkouška PET je na úrovni  B1 dle Společného evropského referenčního rámce pro jazyky (CEFR)</w:t>
      </w:r>
      <w:r w:rsidR="00017F1D" w:rsidRPr="004E314D">
        <w:rPr>
          <w:rFonts w:ascii="Trebuchet MS" w:hAnsi="Trebuchet MS"/>
          <w:color w:val="943634" w:themeColor="accent2" w:themeShade="BF"/>
          <w:sz w:val="28"/>
          <w:szCs w:val="28"/>
        </w:rPr>
        <w:t>, nebo</w:t>
      </w:r>
      <w:r w:rsidRPr="004E314D">
        <w:rPr>
          <w:rFonts w:ascii="Trebuchet MS" w:hAnsi="Trebuchet MS"/>
          <w:color w:val="943634" w:themeColor="accent2" w:themeShade="BF"/>
          <w:sz w:val="28"/>
          <w:szCs w:val="28"/>
        </w:rPr>
        <w:t xml:space="preserve">li  </w:t>
      </w:r>
      <w:r w:rsidRPr="004E314D">
        <w:rPr>
          <w:rFonts w:ascii="Trebuchet MS" w:hAnsi="Trebuchet MS"/>
          <w:color w:val="943634" w:themeColor="accent2" w:themeShade="BF"/>
          <w:sz w:val="28"/>
          <w:szCs w:val="28"/>
        </w:rPr>
        <w:br/>
        <w:t>Intermediate</w:t>
      </w:r>
      <w:r w:rsidRPr="008F682A">
        <w:rPr>
          <w:color w:val="943634" w:themeColor="accent2" w:themeShade="BF"/>
          <w:sz w:val="28"/>
          <w:szCs w:val="28"/>
        </w:rPr>
        <w:t>.</w:t>
      </w:r>
    </w:p>
    <w:p w:rsidR="008F682A" w:rsidRPr="00952FD6" w:rsidRDefault="00952FD6" w:rsidP="00952FD6">
      <w:pPr>
        <w:spacing w:line="240" w:lineRule="auto"/>
        <w:rPr>
          <w:color w:val="339966"/>
          <w:sz w:val="28"/>
          <w:szCs w:val="28"/>
        </w:rPr>
      </w:pPr>
      <w:bookmarkStart w:id="0" w:name="_GoBack"/>
      <w:bookmarkEnd w:id="0"/>
      <w:r w:rsidRPr="00952FD6">
        <w:rPr>
          <w:color w:val="C00000"/>
          <w:u w:val="single"/>
        </w:rPr>
        <w:t>www.zkouskypark.cz</w:t>
      </w:r>
    </w:p>
    <w:p w:rsidR="00241373" w:rsidRPr="008F32AB" w:rsidRDefault="00241373" w:rsidP="00241373">
      <w:pPr>
        <w:pStyle w:val="Normlnweb"/>
        <w:rPr>
          <w:rFonts w:ascii="Trebuchet MS" w:hAnsi="Trebuchet MS"/>
          <w:color w:val="C00000"/>
        </w:rPr>
      </w:pPr>
      <w:r w:rsidRPr="008F32AB">
        <w:rPr>
          <w:rFonts w:ascii="Trebuchet MS" w:hAnsi="Trebuchet MS"/>
          <w:color w:val="C00000"/>
        </w:rPr>
        <w:t>Úspěšné složení této zkoušky deklaruje komunikativní znalost jazyka asi na úrovni dvou třetin znalostí nutných pro složení zkoušky FCE. Uchazeč na tomto stupni by měl být schopen používat jazyk v každodenních situacích – porozumět jednoduchým článkům, psát jednoduché dopisy nebo zhotovovat si poznámky během schůzky. Zkoušku lze skládat po 380 hodinách výuky.</w:t>
      </w:r>
    </w:p>
    <w:p w:rsidR="008F32AB" w:rsidRPr="008F32AB" w:rsidRDefault="008F32AB" w:rsidP="008F32AB">
      <w:pPr>
        <w:spacing w:after="0" w:line="240" w:lineRule="auto"/>
        <w:jc w:val="both"/>
        <w:rPr>
          <w:rFonts w:ascii="Trebuchet MS" w:eastAsia="Times New Roman" w:hAnsi="Trebuchet MS" w:cs="Times New Roman"/>
          <w:color w:val="C00000"/>
          <w:lang w:eastAsia="cs-CZ"/>
        </w:rPr>
      </w:pPr>
      <w:r w:rsidRPr="008F32AB">
        <w:rPr>
          <w:rFonts w:ascii="Trebuchet MS" w:eastAsia="Times New Roman" w:hAnsi="Trebuchet MS" w:cs="Times New Roman"/>
          <w:b/>
          <w:color w:val="C00000"/>
          <w:lang w:eastAsia="cs-CZ"/>
        </w:rPr>
        <w:t>Příklady škol v ČR, které uznávají PET</w:t>
      </w:r>
      <w:r w:rsidRPr="008F32AB">
        <w:rPr>
          <w:rFonts w:ascii="Trebuchet MS" w:eastAsia="Times New Roman" w:hAnsi="Trebuchet MS" w:cs="Times New Roman"/>
          <w:color w:val="C00000"/>
          <w:lang w:eastAsia="cs-CZ"/>
        </w:rPr>
        <w:t>: VUT,UTB, MUNI,</w:t>
      </w:r>
      <w:r w:rsidR="00947C29">
        <w:rPr>
          <w:rFonts w:ascii="Trebuchet MS" w:eastAsia="Times New Roman" w:hAnsi="Trebuchet MS" w:cs="Times New Roman"/>
          <w:color w:val="C00000"/>
          <w:lang w:eastAsia="cs-CZ"/>
        </w:rPr>
        <w:t xml:space="preserve"> </w:t>
      </w:r>
      <w:r w:rsidRPr="008F32AB">
        <w:rPr>
          <w:rFonts w:ascii="Trebuchet MS" w:eastAsia="Times New Roman" w:hAnsi="Trebuchet MS" w:cs="Times New Roman"/>
          <w:color w:val="C00000"/>
          <w:lang w:eastAsia="cs-CZ"/>
        </w:rPr>
        <w:t xml:space="preserve">CUNI... </w:t>
      </w:r>
    </w:p>
    <w:p w:rsidR="008F32AB" w:rsidRPr="008F32AB" w:rsidRDefault="008F32AB" w:rsidP="008F32AB">
      <w:pPr>
        <w:spacing w:after="0" w:line="240" w:lineRule="auto"/>
        <w:jc w:val="both"/>
        <w:rPr>
          <w:rFonts w:ascii="Trebuchet MS" w:hAnsi="Trebuchet MS" w:cs="Arial"/>
          <w:color w:val="C00000"/>
          <w:sz w:val="24"/>
          <w:szCs w:val="24"/>
          <w:shd w:val="clear" w:color="auto" w:fill="FFFFFF"/>
        </w:rPr>
      </w:pPr>
      <w:r w:rsidRPr="008F32AB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cs-CZ"/>
        </w:rPr>
        <w:t xml:space="preserve">Příklady firem v ČR, </w:t>
      </w:r>
      <w:r w:rsidRPr="008F32AB">
        <w:rPr>
          <w:rFonts w:ascii="Trebuchet MS" w:eastAsia="Times New Roman" w:hAnsi="Trebuchet MS" w:cs="Times New Roman"/>
          <w:b/>
          <w:color w:val="C00000"/>
          <w:lang w:eastAsia="cs-CZ"/>
        </w:rPr>
        <w:t>které uznávají PET</w:t>
      </w:r>
      <w:r w:rsidRPr="008F32AB">
        <w:rPr>
          <w:rFonts w:ascii="Trebuchet MS" w:eastAsia="Times New Roman" w:hAnsi="Trebuchet MS" w:cs="Times New Roman"/>
          <w:color w:val="C00000"/>
          <w:lang w:eastAsia="cs-CZ"/>
        </w:rPr>
        <w:t>:</w:t>
      </w:r>
      <w:r w:rsidRPr="008F32AB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cs-CZ"/>
        </w:rPr>
        <w:t>:</w:t>
      </w:r>
      <w:r w:rsidRPr="008F32AB">
        <w:rPr>
          <w:rFonts w:ascii="Trebuchet MS" w:eastAsia="Times New Roman" w:hAnsi="Trebuchet MS" w:cs="Times New Roman"/>
          <w:color w:val="C00000"/>
          <w:sz w:val="24"/>
          <w:szCs w:val="24"/>
          <w:lang w:eastAsia="cs-CZ"/>
        </w:rPr>
        <w:t xml:space="preserve"> </w:t>
      </w:r>
      <w:proofErr w:type="spellStart"/>
      <w:r w:rsidRPr="008F32AB">
        <w:rPr>
          <w:rFonts w:ascii="Trebuchet MS" w:hAnsi="Trebuchet MS" w:cs="Arial"/>
          <w:color w:val="C00000"/>
          <w:sz w:val="24"/>
          <w:szCs w:val="24"/>
          <w:shd w:val="clear" w:color="auto" w:fill="FFFFFF"/>
        </w:rPr>
        <w:t>AstraZeneca</w:t>
      </w:r>
      <w:proofErr w:type="spellEnd"/>
      <w:r w:rsidRPr="008F32AB">
        <w:rPr>
          <w:rFonts w:ascii="Trebuchet MS" w:hAnsi="Trebuchet MS" w:cs="Arial"/>
          <w:color w:val="C00000"/>
          <w:sz w:val="24"/>
          <w:szCs w:val="24"/>
          <w:shd w:val="clear" w:color="auto" w:fill="FFFFFF"/>
        </w:rPr>
        <w:t xml:space="preserve">, </w:t>
      </w:r>
      <w:proofErr w:type="spellStart"/>
      <w:r w:rsidRPr="008F32AB">
        <w:rPr>
          <w:rFonts w:ascii="Trebuchet MS" w:hAnsi="Trebuchet MS" w:cs="Arial"/>
          <w:color w:val="C00000"/>
          <w:sz w:val="24"/>
          <w:szCs w:val="24"/>
          <w:shd w:val="clear" w:color="auto" w:fill="FFFFFF"/>
        </w:rPr>
        <w:t>Honeywell</w:t>
      </w:r>
      <w:proofErr w:type="spellEnd"/>
      <w:r w:rsidRPr="008F32AB">
        <w:rPr>
          <w:rStyle w:val="apple-converted-space"/>
          <w:rFonts w:ascii="Trebuchet MS" w:hAnsi="Trebuchet MS" w:cs="Arial"/>
          <w:color w:val="C00000"/>
          <w:sz w:val="24"/>
          <w:szCs w:val="24"/>
          <w:shd w:val="clear" w:color="auto" w:fill="FFFFFF"/>
        </w:rPr>
        <w:t xml:space="preserve">, </w:t>
      </w:r>
      <w:r w:rsidRPr="008F32AB">
        <w:rPr>
          <w:rFonts w:ascii="Trebuchet MS" w:hAnsi="Trebuchet MS" w:cs="Arial"/>
          <w:color w:val="C00000"/>
          <w:sz w:val="24"/>
          <w:szCs w:val="24"/>
          <w:shd w:val="clear" w:color="auto" w:fill="FFFFFF"/>
        </w:rPr>
        <w:t xml:space="preserve">Mazda, Evropská Cestovní </w:t>
      </w:r>
      <w:proofErr w:type="spellStart"/>
      <w:r w:rsidRPr="008F32AB">
        <w:rPr>
          <w:rFonts w:ascii="Trebuchet MS" w:hAnsi="Trebuchet MS" w:cs="Arial"/>
          <w:color w:val="C00000"/>
          <w:sz w:val="24"/>
          <w:szCs w:val="24"/>
          <w:shd w:val="clear" w:color="auto" w:fill="FFFFFF"/>
        </w:rPr>
        <w:t>Pojištovna</w:t>
      </w:r>
      <w:proofErr w:type="spellEnd"/>
      <w:r w:rsidRPr="008F32AB">
        <w:rPr>
          <w:rFonts w:ascii="Trebuchet MS" w:hAnsi="Trebuchet MS" w:cs="Arial"/>
          <w:color w:val="C00000"/>
          <w:sz w:val="24"/>
          <w:szCs w:val="24"/>
          <w:shd w:val="clear" w:color="auto" w:fill="FFFFFF"/>
        </w:rPr>
        <w:t xml:space="preserve"> AS, Český Statistický Úřad …</w:t>
      </w:r>
    </w:p>
    <w:p w:rsidR="008F32AB" w:rsidRPr="008F32AB" w:rsidRDefault="008F32AB" w:rsidP="008F32AB">
      <w:pPr>
        <w:spacing w:after="0" w:line="240" w:lineRule="auto"/>
        <w:jc w:val="both"/>
        <w:rPr>
          <w:rFonts w:ascii="Trebuchet MS" w:eastAsia="Times New Roman" w:hAnsi="Trebuchet MS" w:cs="Times New Roman"/>
          <w:color w:val="C00000"/>
          <w:sz w:val="24"/>
          <w:szCs w:val="24"/>
          <w:lang w:eastAsia="cs-CZ"/>
        </w:rPr>
      </w:pPr>
    </w:p>
    <w:p w:rsidR="00EB56AA" w:rsidRPr="008F32AB" w:rsidRDefault="00EB56AA" w:rsidP="00EB56AA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cs-CZ"/>
        </w:rPr>
      </w:pPr>
      <w:r w:rsidRPr="008F32AB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cs-CZ"/>
        </w:rPr>
        <w:t xml:space="preserve">Minimální hranice úspěšnosti: </w:t>
      </w:r>
    </w:p>
    <w:p w:rsidR="00EB56AA" w:rsidRPr="008F32AB" w:rsidRDefault="00EB56AA" w:rsidP="00EB56AA">
      <w:pPr>
        <w:spacing w:after="0" w:line="240" w:lineRule="auto"/>
        <w:jc w:val="both"/>
        <w:rPr>
          <w:rFonts w:ascii="Trebuchet MS" w:eastAsia="Times New Roman" w:hAnsi="Trebuchet MS" w:cs="Times New Roman"/>
          <w:color w:val="C00000"/>
          <w:sz w:val="24"/>
          <w:szCs w:val="24"/>
          <w:lang w:eastAsia="cs-CZ"/>
        </w:rPr>
      </w:pPr>
      <w:r w:rsidRPr="008F32AB">
        <w:rPr>
          <w:rFonts w:ascii="Trebuchet MS" w:eastAsia="Times New Roman" w:hAnsi="Trebuchet MS" w:cs="Times New Roman"/>
          <w:color w:val="C00000"/>
          <w:sz w:val="24"/>
          <w:szCs w:val="24"/>
          <w:lang w:eastAsia="cs-CZ"/>
        </w:rPr>
        <w:t>70% z celé zkoušky</w:t>
      </w:r>
      <w:r w:rsidRPr="008F32AB">
        <w:rPr>
          <w:rFonts w:ascii="Trebuchet MS" w:eastAsia="Times New Roman" w:hAnsi="Trebuchet MS" w:cs="Times New Roman"/>
          <w:b/>
          <w:color w:val="C00000"/>
          <w:sz w:val="24"/>
          <w:szCs w:val="24"/>
          <w:lang w:eastAsia="cs-CZ"/>
        </w:rPr>
        <w:t>.</w:t>
      </w:r>
      <w:r w:rsidRPr="008F32AB">
        <w:rPr>
          <w:rFonts w:ascii="Trebuchet MS" w:eastAsia="Times New Roman" w:hAnsi="Trebuchet MS" w:cs="Times New Roman"/>
          <w:color w:val="C00000"/>
          <w:sz w:val="24"/>
          <w:szCs w:val="24"/>
          <w:lang w:eastAsia="cs-CZ"/>
        </w:rPr>
        <w:t xml:space="preserve"> Minimální hranice pro jednotlivé části zkoušky není určena, takže klidně můžete třeba z jedné části získat jen 5 bodů a přesto zkoušku udělat. Pokud zkoušku zvládnete na více než 45% - 69</w:t>
      </w:r>
      <w:r w:rsidR="00925644">
        <w:rPr>
          <w:rFonts w:ascii="Trebuchet MS" w:eastAsia="Times New Roman" w:hAnsi="Trebuchet MS" w:cs="Times New Roman"/>
          <w:color w:val="C00000"/>
          <w:sz w:val="24"/>
          <w:szCs w:val="24"/>
          <w:lang w:eastAsia="cs-CZ"/>
        </w:rPr>
        <w:t>%, obdržíte certifikát úrovně A2</w:t>
      </w:r>
      <w:r w:rsidRPr="008F32AB">
        <w:rPr>
          <w:rFonts w:ascii="Trebuchet MS" w:eastAsia="Times New Roman" w:hAnsi="Trebuchet MS" w:cs="Times New Roman"/>
          <w:color w:val="C00000"/>
          <w:sz w:val="24"/>
          <w:szCs w:val="24"/>
          <w:lang w:eastAsia="cs-CZ"/>
        </w:rPr>
        <w:t>, tedy ekvivalent KET. Pokud zkoušku zvládnete na více než 90%, získáte certifikát B2, tedy ekvivalent FCE.</w:t>
      </w:r>
    </w:p>
    <w:p w:rsidR="00EB56AA" w:rsidRPr="005E4F33" w:rsidRDefault="00EB56AA" w:rsidP="00241373">
      <w:pPr>
        <w:pStyle w:val="Normlnweb"/>
        <w:rPr>
          <w:rFonts w:asciiTheme="minorHAnsi" w:hAnsiTheme="minorHAnsi"/>
          <w:color w:val="C00000"/>
        </w:rPr>
      </w:pPr>
      <w:r w:rsidRPr="005E4F33">
        <w:rPr>
          <w:rFonts w:ascii="Trebuchet MS" w:hAnsi="Trebuchet MS"/>
          <w:b/>
          <w:noProof/>
          <w:color w:val="C0000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CCDC60" wp14:editId="212F45F0">
                <wp:simplePos x="0" y="0"/>
                <wp:positionH relativeFrom="column">
                  <wp:posOffset>12065</wp:posOffset>
                </wp:positionH>
                <wp:positionV relativeFrom="paragraph">
                  <wp:posOffset>71755</wp:posOffset>
                </wp:positionV>
                <wp:extent cx="2028825" cy="314325"/>
                <wp:effectExtent l="0" t="0" r="28575" b="123825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14325"/>
                        </a:xfrm>
                        <a:prstGeom prst="wedgeRectCallout">
                          <a:avLst>
                            <a:gd name="adj1" fmla="val 33194"/>
                            <a:gd name="adj2" fmla="val 77652"/>
                          </a:avLst>
                        </a:prstGeom>
                        <a:solidFill>
                          <a:srgbClr val="C00000"/>
                        </a:solidFill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B56AA" w:rsidRPr="002C031E" w:rsidRDefault="00EB56AA" w:rsidP="00EB56AA">
                            <w:pPr>
                              <w:rPr>
                                <w:b/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  </w:t>
                            </w:r>
                            <w:r w:rsidRPr="002C031E">
                              <w:rPr>
                                <w:b/>
                                <w:sz w:val="32"/>
                              </w:rPr>
                              <w:t>OBSAH ZKOUŠKY: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4" o:spid="_x0000_s1026" type="#_x0000_t61" style="position:absolute;margin-left:.95pt;margin-top:5.65pt;width:159.75pt;height:24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" adj="17970,27573" fillcolor="#c00000" strokecolor="#c00000" strokeweight="2pt">
                <v:textbox>
                  <w:txbxContent>
                    <w:p w:rsidR="00EB56AA" w:rsidRPr="002C031E" w:rsidRDefault="00EB56AA" w:rsidP="00EB56AA">
                      <w:pPr>
                        <w:rPr>
                          <w:b/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  </w:t>
                      </w:r>
                      <w:r w:rsidRPr="002C031E">
                        <w:rPr>
                          <w:b/>
                          <w:sz w:val="32"/>
                        </w:rPr>
                        <w:t>OBSAH ZKOUŠKY:</w:t>
                      </w:r>
                    </w:p>
                  </w:txbxContent>
                </v:textbox>
              </v:shape>
            </w:pict>
          </mc:Fallback>
        </mc:AlternateContent>
      </w:r>
    </w:p>
    <w:p w:rsidR="00241373" w:rsidRPr="00A70B28" w:rsidRDefault="00241373" w:rsidP="00241373">
      <w:pPr>
        <w:pStyle w:val="Normlnweb"/>
        <w:rPr>
          <w:rFonts w:ascii="Trebuchet MS" w:hAnsi="Trebuchet MS"/>
          <w:color w:val="C00000"/>
        </w:rPr>
      </w:pPr>
      <w:r w:rsidRPr="00A70B28">
        <w:rPr>
          <w:rFonts w:ascii="Trebuchet MS" w:hAnsi="Trebuchet MS"/>
          <w:color w:val="C00000"/>
        </w:rPr>
        <w:t>1. čtení &amp; psaní (1 hodina a 30 minut), 2. poslech (přibližně 30 minut), 3. mluvení (10 až 12 min. ve dvojici kandidátů)</w:t>
      </w:r>
    </w:p>
    <w:p w:rsidR="00241373" w:rsidRPr="00A70B28" w:rsidRDefault="00241373" w:rsidP="00241373">
      <w:pPr>
        <w:pStyle w:val="Normlnweb"/>
        <w:rPr>
          <w:rFonts w:ascii="Trebuchet MS" w:hAnsi="Trebuchet MS"/>
          <w:color w:val="C00000"/>
        </w:rPr>
      </w:pPr>
      <w:r w:rsidRPr="00A70B28">
        <w:rPr>
          <w:rStyle w:val="Siln"/>
          <w:rFonts w:ascii="Trebuchet MS" w:hAnsi="Trebuchet MS"/>
          <w:color w:val="C00000"/>
        </w:rPr>
        <w:t>1. čtení &amp; psaní (1 hodina a</w:t>
      </w:r>
      <w:r w:rsidR="00DA2511" w:rsidRPr="00A70B28">
        <w:rPr>
          <w:rStyle w:val="Siln"/>
          <w:rFonts w:ascii="Trebuchet MS" w:hAnsi="Trebuchet MS"/>
          <w:color w:val="C00000"/>
        </w:rPr>
        <w:t xml:space="preserve"> 30</w:t>
      </w:r>
      <w:r w:rsidRPr="00A70B28">
        <w:rPr>
          <w:rStyle w:val="Siln"/>
          <w:rFonts w:ascii="Trebuchet MS" w:hAnsi="Trebuchet MS"/>
          <w:color w:val="C00000"/>
        </w:rPr>
        <w:t xml:space="preserve"> minut)</w:t>
      </w:r>
      <w:r w:rsidRPr="00A70B28">
        <w:rPr>
          <w:rFonts w:ascii="Trebuchet MS" w:hAnsi="Trebuchet MS"/>
          <w:color w:val="C00000"/>
        </w:rPr>
        <w:br/>
        <w:t>Ověřuje se kandidátova schopnost číst a porozumět textům různého typu jako jsou nápisy, brožury, noviny nebo časopisy, ve kterých by měl být schopen porozumět hlavnímu smyslu, zabarvení a také si poradit s neznámou slovní zásobou a gramatickými strukturami.  Dále kandidáti transformují věty, reagují na zprávy a píší neformální dopis nebo vyprávění o rozsahu 100 slov. </w:t>
      </w:r>
      <w:r w:rsidRPr="00A70B28">
        <w:rPr>
          <w:rFonts w:ascii="Trebuchet MS" w:hAnsi="Trebuchet MS"/>
          <w:color w:val="C00000"/>
        </w:rPr>
        <w:br/>
        <w:t>Čtení a psaní odpovídá 50 % z celkového počtu bodů.</w:t>
      </w:r>
    </w:p>
    <w:p w:rsidR="00241373" w:rsidRPr="00A70B28" w:rsidRDefault="00241373" w:rsidP="00241373">
      <w:pPr>
        <w:pStyle w:val="Normlnweb"/>
        <w:rPr>
          <w:rFonts w:ascii="Trebuchet MS" w:hAnsi="Trebuchet MS"/>
          <w:color w:val="C00000"/>
        </w:rPr>
      </w:pPr>
      <w:r w:rsidRPr="00A70B28">
        <w:rPr>
          <w:rStyle w:val="Siln"/>
          <w:rFonts w:ascii="Trebuchet MS" w:hAnsi="Trebuchet MS"/>
          <w:color w:val="C00000"/>
        </w:rPr>
        <w:t>2. poslech (30 minut)</w:t>
      </w:r>
      <w:r w:rsidRPr="00A70B28">
        <w:rPr>
          <w:rFonts w:ascii="Trebuchet MS" w:hAnsi="Trebuchet MS"/>
          <w:color w:val="C00000"/>
        </w:rPr>
        <w:br/>
        <w:t>V této části zkoušky je hodnoceno porozumění hlavní myšlence, záměrům a postojům mluvících osob v nahrávkách jako jsou monology, dialogy nebo inzeráty s tématy z každodenního života, které jsou vždy předneseny v mírném tempu.</w:t>
      </w:r>
    </w:p>
    <w:p w:rsidR="00691B35" w:rsidRPr="00A70B28" w:rsidRDefault="00241373" w:rsidP="00241373">
      <w:pPr>
        <w:pStyle w:val="Normlnweb"/>
        <w:rPr>
          <w:rFonts w:ascii="Trebuchet MS" w:hAnsi="Trebuchet MS"/>
          <w:color w:val="C00000"/>
        </w:rPr>
      </w:pPr>
      <w:r w:rsidRPr="00A70B28">
        <w:rPr>
          <w:rStyle w:val="Siln"/>
          <w:rFonts w:ascii="Trebuchet MS" w:hAnsi="Trebuchet MS"/>
          <w:color w:val="C00000"/>
        </w:rPr>
        <w:t>3. mluvení (10 až 12 minut)</w:t>
      </w:r>
      <w:r w:rsidRPr="00A70B28">
        <w:rPr>
          <w:rFonts w:ascii="Trebuchet MS" w:hAnsi="Trebuchet MS"/>
          <w:color w:val="C00000"/>
        </w:rPr>
        <w:br/>
        <w:t>Ověřují se kandidátovi reakce, vyjádření souhlasu nebo nesouhlasu a schopnost domluvy se zkoušejícím a druhým kandidátem při rozhovoru na jednoduchá témata.</w:t>
      </w:r>
    </w:p>
    <w:sectPr w:rsidR="00691B35" w:rsidRPr="00A70B28" w:rsidSect="00326A2C">
      <w:pgSz w:w="16838" w:h="11906" w:orient="landscape"/>
      <w:pgMar w:top="425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E3"/>
    <w:rsid w:val="00017F1D"/>
    <w:rsid w:val="00241373"/>
    <w:rsid w:val="00326A2C"/>
    <w:rsid w:val="004E314D"/>
    <w:rsid w:val="005E4F33"/>
    <w:rsid w:val="008551E3"/>
    <w:rsid w:val="008F32AB"/>
    <w:rsid w:val="008F682A"/>
    <w:rsid w:val="00925644"/>
    <w:rsid w:val="00947C29"/>
    <w:rsid w:val="0095228A"/>
    <w:rsid w:val="00952FD6"/>
    <w:rsid w:val="0099784D"/>
    <w:rsid w:val="00A0217B"/>
    <w:rsid w:val="00A64922"/>
    <w:rsid w:val="00A70B28"/>
    <w:rsid w:val="00B423F6"/>
    <w:rsid w:val="00B866F5"/>
    <w:rsid w:val="00C2408B"/>
    <w:rsid w:val="00DA2511"/>
    <w:rsid w:val="00DF5231"/>
    <w:rsid w:val="00E45037"/>
    <w:rsid w:val="00E54A23"/>
    <w:rsid w:val="00EB56AA"/>
    <w:rsid w:val="00F416C9"/>
    <w:rsid w:val="00FD10FC"/>
    <w:rsid w:val="00FD5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1E3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8551E3"/>
    <w:rPr>
      <w:i/>
      <w:iCs/>
    </w:rPr>
  </w:style>
  <w:style w:type="paragraph" w:styleId="Normlnweb">
    <w:name w:val="Normal (Web)"/>
    <w:basedOn w:val="Normln"/>
    <w:uiPriority w:val="99"/>
    <w:unhideWhenUsed/>
    <w:rsid w:val="0024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1373"/>
    <w:rPr>
      <w:b/>
      <w:bCs/>
    </w:rPr>
  </w:style>
  <w:style w:type="character" w:customStyle="1" w:styleId="apple-converted-space">
    <w:name w:val="apple-converted-space"/>
    <w:basedOn w:val="Standardnpsmoodstavce"/>
    <w:rsid w:val="008F32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1E3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8551E3"/>
    <w:rPr>
      <w:i/>
      <w:iCs/>
    </w:rPr>
  </w:style>
  <w:style w:type="paragraph" w:styleId="Normlnweb">
    <w:name w:val="Normal (Web)"/>
    <w:basedOn w:val="Normln"/>
    <w:uiPriority w:val="99"/>
    <w:unhideWhenUsed/>
    <w:rsid w:val="0024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1373"/>
    <w:rPr>
      <w:b/>
      <w:bCs/>
    </w:rPr>
  </w:style>
  <w:style w:type="character" w:customStyle="1" w:styleId="apple-converted-space">
    <w:name w:val="apple-converted-space"/>
    <w:basedOn w:val="Standardnpsmoodstavce"/>
    <w:rsid w:val="008F32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302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Jazyková škola P.A.R.K. s.r.o.</Company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park</cp:lastModifiedBy>
  <cp:revision>11</cp:revision>
  <cp:lastPrinted>2016-03-04T10:57:00Z</cp:lastPrinted>
  <dcterms:created xsi:type="dcterms:W3CDTF">2014-11-06T14:37:00Z</dcterms:created>
  <dcterms:modified xsi:type="dcterms:W3CDTF">2016-03-04T12:00:00Z</dcterms:modified>
</cp:coreProperties>
</file>